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253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Сухопаровой </w:t>
      </w:r>
      <w:r>
        <w:rPr>
          <w:rStyle w:val="cat-UserDefinedgrp-10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Департаменту муниципальной собственности администрации города Ханты-Мансийска о взыскании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Сухопаровой </w:t>
      </w:r>
      <w:r>
        <w:rPr>
          <w:rStyle w:val="cat-UserDefinedgrp-1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Департаменту муниципальной собственности администрации города Ханты-Мансийска о взыскании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</w:rPr>
        <w:t xml:space="preserve"> удовлетворить</w:t>
      </w:r>
      <w:r>
        <w:rPr>
          <w:rFonts w:ascii="Times New Roman" w:eastAsia="Times New Roman" w:hAnsi="Times New Roman" w:cs="Times New Roman"/>
        </w:rPr>
        <w:t xml:space="preserve"> частично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Департамента</w:t>
      </w:r>
      <w:r>
        <w:rPr>
          <w:rFonts w:ascii="Times New Roman" w:eastAsia="Times New Roman" w:hAnsi="Times New Roman" w:cs="Times New Roman"/>
        </w:rPr>
        <w:t xml:space="preserve"> муниципальной собственности администрации города Ханты-Мансийска (</w:t>
      </w:r>
      <w:r>
        <w:rPr>
          <w:rStyle w:val="cat-UserDefinedgrp-1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Сухопаровой </w:t>
      </w:r>
      <w:r>
        <w:rPr>
          <w:rStyle w:val="cat-UserDefinedgrp-10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(паспорт 3602 №408220) 8545,11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проценты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0rplc-5">
    <w:name w:val="cat-UserDefined grp-10 rplc-5"/>
    <w:basedOn w:val="DefaultParagraphFont"/>
  </w:style>
  <w:style w:type="character" w:customStyle="1" w:styleId="cat-UserDefinedgrp-10rplc-8">
    <w:name w:val="cat-UserDefined grp-10 rplc-8"/>
    <w:basedOn w:val="DefaultParagraphFont"/>
  </w:style>
  <w:style w:type="character" w:customStyle="1" w:styleId="cat-UserDefinedgrp-11rplc-11">
    <w:name w:val="cat-UserDefined grp-11 rplc-11"/>
    <w:basedOn w:val="DefaultParagraphFont"/>
  </w:style>
  <w:style w:type="character" w:customStyle="1" w:styleId="cat-UserDefinedgrp-10rplc-13">
    <w:name w:val="cat-UserDefined grp-10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